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18" w:rsidRDefault="008F1718">
      <w:pPr>
        <w:pStyle w:val="ConsPlusTitlePage"/>
      </w:pPr>
      <w:r>
        <w:t xml:space="preserve">Документ предоставлен </w:t>
      </w:r>
      <w:hyperlink r:id="rId5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8F1718" w:rsidRDefault="008F1718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F171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F1718" w:rsidRDefault="008F17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1718" w:rsidRDefault="008F17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F1718" w:rsidRDefault="008F1718">
            <w:pPr>
              <w:pStyle w:val="ConsPlusNormal"/>
              <w:jc w:val="right"/>
            </w:pPr>
            <w:r>
              <w:rPr>
                <w:color w:val="392C69"/>
              </w:rPr>
              <w:t xml:space="preserve">Издательство </w:t>
            </w:r>
            <w:hyperlink r:id="rId6">
              <w:r>
                <w:rPr>
                  <w:color w:val="0000FF"/>
                </w:rPr>
                <w:t>"Главная книга"</w:t>
              </w:r>
            </w:hyperlink>
            <w:r>
              <w:rPr>
                <w:color w:val="392C69"/>
              </w:rPr>
              <w:t xml:space="preserve"> | </w:t>
            </w:r>
            <w:r>
              <w:rPr>
                <w:b/>
                <w:color w:val="392C69"/>
              </w:rPr>
              <w:t>Актуально на 06.10.2026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F1718" w:rsidRDefault="008F1718">
            <w:pPr>
              <w:pStyle w:val="ConsPlusNormal"/>
            </w:pPr>
          </w:p>
        </w:tc>
      </w:tr>
    </w:tbl>
    <w:p w:rsidR="008F1718" w:rsidRDefault="008F1718">
      <w:pPr>
        <w:pStyle w:val="ConsPlusNormal"/>
        <w:spacing w:before="480"/>
      </w:pPr>
      <w:r>
        <w:rPr>
          <w:b/>
          <w:sz w:val="38"/>
        </w:rPr>
        <w:t>Цифровой рубль: понятие, использование, учет</w:t>
      </w:r>
    </w:p>
    <w:p w:rsidR="008F1718" w:rsidRDefault="008F1718">
      <w:pPr>
        <w:pStyle w:val="ConsPlusNormal"/>
        <w:spacing w:before="220"/>
        <w:jc w:val="both"/>
      </w:pPr>
      <w:r>
        <w:t xml:space="preserve">Цифровой рубль - электронная форма (уникальный цифровой код) российской национальной валюты, он выпускается ЦБ и равнозначен наличному и безналичному рублю. Все операции с цифровыми рублями - эмиссия, открытие и ведение счета цифрового рубля, расчеты - идут только через </w:t>
      </w:r>
      <w:hyperlink r:id="rId7">
        <w:r>
          <w:rPr>
            <w:color w:val="0000FF"/>
          </w:rPr>
          <w:t>платформу ЦБ</w:t>
        </w:r>
      </w:hyperlink>
      <w:r>
        <w:t>. Использовать цифровые рубли можно только для расчетов, в них нельзя открыть вклад или получить кредит (</w:t>
      </w:r>
      <w:hyperlink r:id="rId8">
        <w:r>
          <w:rPr>
            <w:color w:val="0000FF"/>
          </w:rPr>
          <w:t>ст. 861</w:t>
        </w:r>
      </w:hyperlink>
      <w:r>
        <w:t xml:space="preserve"> ГК РФ, </w:t>
      </w:r>
      <w:hyperlink r:id="rId9">
        <w:r>
          <w:rPr>
            <w:color w:val="0000FF"/>
          </w:rPr>
          <w:t>ст. 82.11</w:t>
        </w:r>
      </w:hyperlink>
      <w:r>
        <w:t xml:space="preserve"> Закона о ЦБ, </w:t>
      </w:r>
      <w:hyperlink r:id="rId10">
        <w:r>
          <w:rPr>
            <w:color w:val="0000FF"/>
          </w:rPr>
          <w:t>п. 5.1</w:t>
        </w:r>
      </w:hyperlink>
      <w:r>
        <w:t xml:space="preserve"> Положения о платформе цифрового рубля).</w:t>
      </w:r>
    </w:p>
    <w:p w:rsidR="008F1718" w:rsidRDefault="008F1718">
      <w:pPr>
        <w:pStyle w:val="ConsPlusNormal"/>
        <w:spacing w:before="220"/>
        <w:jc w:val="both"/>
      </w:pPr>
      <w:r>
        <w:t xml:space="preserve">Юридическое или физическое лицо может иметь только один счет цифрового рубля. Его можно открыть онлайн через </w:t>
      </w:r>
      <w:hyperlink r:id="rId11" w:anchor=":~:text=%D0%91%D0%B0%D0%BD%D0%BA%D0%B8%2D%D1%83%D1%87%D0%B0%D1%81%D1%82%D0%BD%D0%B8%D0%BA%D0%B8%20%D0%BF%D0%B8%D0%BB%D0%BE%D1%82%D0%B0%20%D0%BE%D0%BF%D0%B5%D1%80%D0%B0%D1%86%D0%B8%D0%B9%20%D1%81%20%D1%80%D0%B5%D0%B0%D0%BB%D1%8C%D0%BD%D1%8B%D0%BC%D0%B8%20%">
        <w:r>
          <w:rPr>
            <w:color w:val="0000FF"/>
          </w:rPr>
          <w:t>банк - участник платформы</w:t>
        </w:r>
      </w:hyperlink>
      <w:r>
        <w:t xml:space="preserve"> и пополнять за счет рублей с обычного счета. Обязанность продавцов (исполнителей) принимать оплату цифровым рублем будут вводить постепенно с 01.09.2026 по 01.09.2028 (</w:t>
      </w:r>
      <w:hyperlink r:id="rId12">
        <w:r>
          <w:rPr>
            <w:color w:val="0000FF"/>
          </w:rPr>
          <w:t>п. п. 7</w:t>
        </w:r>
      </w:hyperlink>
      <w:r>
        <w:t xml:space="preserve"> - </w:t>
      </w:r>
      <w:hyperlink r:id="rId13">
        <w:r>
          <w:rPr>
            <w:color w:val="0000FF"/>
          </w:rPr>
          <w:t>9 ст. 4</w:t>
        </w:r>
      </w:hyperlink>
      <w:r>
        <w:t xml:space="preserve"> Закона N 248-ФЗ).</w:t>
      </w:r>
    </w:p>
    <w:p w:rsidR="008F1718" w:rsidRDefault="008F1718">
      <w:pPr>
        <w:pStyle w:val="ConsPlusNormal"/>
        <w:spacing w:before="220"/>
        <w:jc w:val="both"/>
      </w:pPr>
      <w:r>
        <w:t xml:space="preserve">Доходы и расходы в цифровых рублях учитывают при расчете </w:t>
      </w:r>
      <w:hyperlink r:id="rId14">
        <w:r>
          <w:rPr>
            <w:color w:val="0000FF"/>
          </w:rPr>
          <w:t>налога на прибыль</w:t>
        </w:r>
      </w:hyperlink>
      <w:r>
        <w:t xml:space="preserve"> и </w:t>
      </w:r>
      <w:hyperlink r:id="rId15">
        <w:r>
          <w:rPr>
            <w:color w:val="0000FF"/>
          </w:rPr>
          <w:t>НДФЛ</w:t>
        </w:r>
      </w:hyperlink>
      <w:r>
        <w:t xml:space="preserve"> так же, как при безналичных и наличных платежах. Обращение цифровых рублей НДС не облагается (</w:t>
      </w:r>
      <w:hyperlink r:id="rId16">
        <w:r>
          <w:rPr>
            <w:color w:val="0000FF"/>
          </w:rPr>
          <w:t>ст. 39</w:t>
        </w:r>
      </w:hyperlink>
      <w:r>
        <w:t xml:space="preserve"> НК РФ, </w:t>
      </w:r>
      <w:hyperlink r:id="rId17">
        <w:r>
          <w:rPr>
            <w:color w:val="0000FF"/>
          </w:rPr>
          <w:t>Письмо</w:t>
        </w:r>
      </w:hyperlink>
      <w:r>
        <w:t xml:space="preserve"> Минфина от 01.11.2023 N 03-04-05/104407).</w:t>
      </w:r>
    </w:p>
    <w:p w:rsidR="008F1718" w:rsidRDefault="008F1718">
      <w:pPr>
        <w:pStyle w:val="ConsPlusNormal"/>
        <w:spacing w:before="220"/>
        <w:jc w:val="both"/>
      </w:pPr>
      <w:r>
        <w:t xml:space="preserve">Цифровые рубли учитывают на счете 53: по дебету - поступление, по кредиту - списание. При несущественных остатках можно учитывать цифровые рубли на специальном </w:t>
      </w:r>
      <w:proofErr w:type="spellStart"/>
      <w:r>
        <w:t>субсчете</w:t>
      </w:r>
      <w:proofErr w:type="spellEnd"/>
      <w:r>
        <w:t xml:space="preserve"> к </w:t>
      </w:r>
      <w:hyperlink r:id="rId18">
        <w:r>
          <w:rPr>
            <w:color w:val="0000FF"/>
          </w:rPr>
          <w:t>счету 55</w:t>
        </w:r>
      </w:hyperlink>
      <w:r>
        <w:t xml:space="preserve"> (</w:t>
      </w:r>
      <w:hyperlink r:id="rId19">
        <w:r>
          <w:rPr>
            <w:color w:val="0000FF"/>
          </w:rPr>
          <w:t>п. п. 2</w:t>
        </w:r>
      </w:hyperlink>
      <w:r>
        <w:t xml:space="preserve">, </w:t>
      </w:r>
      <w:hyperlink r:id="rId20">
        <w:r>
          <w:rPr>
            <w:color w:val="0000FF"/>
          </w:rPr>
          <w:t>7</w:t>
        </w:r>
      </w:hyperlink>
      <w:r>
        <w:t xml:space="preserve"> Информации Минфина).</w:t>
      </w:r>
    </w:p>
    <w:p w:rsidR="008F1718" w:rsidRDefault="008F1718">
      <w:pPr>
        <w:pStyle w:val="ConsPlusNormal"/>
        <w:jc w:val="both"/>
      </w:pPr>
    </w:p>
    <w:tbl>
      <w:tblPr>
        <w:tblW w:w="974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4"/>
      </w:tblGrid>
      <w:tr w:rsidR="008F171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7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195" w:type="dxa"/>
              <w:left w:w="195" w:type="dxa"/>
              <w:bottom w:w="195" w:type="dxa"/>
              <w:right w:w="195" w:type="dxa"/>
            </w:tcMar>
          </w:tcPr>
          <w:p w:rsidR="008F1718" w:rsidRDefault="008F1718">
            <w:pPr>
              <w:pStyle w:val="ConsPlusNormal"/>
              <w:jc w:val="both"/>
            </w:pPr>
            <w:bookmarkStart w:id="0" w:name="P8"/>
            <w:bookmarkEnd w:id="0"/>
            <w:r>
              <w:rPr>
                <w:u w:val="single"/>
              </w:rPr>
              <w:t>Проводки при расчетах цифровыми рублями</w:t>
            </w:r>
          </w:p>
          <w:p w:rsidR="008F1718" w:rsidRDefault="008F1718">
            <w:pPr>
              <w:pStyle w:val="ConsPlusNormal"/>
              <w:spacing w:before="220"/>
              <w:jc w:val="both"/>
            </w:pPr>
            <w:r>
              <w:t>Д 53 - К 51 - зачисление на счет цифрового рубля с расчетного счета</w:t>
            </w:r>
          </w:p>
          <w:p w:rsidR="008F1718" w:rsidRDefault="008F1718">
            <w:pPr>
              <w:pStyle w:val="ConsPlusNormal"/>
              <w:spacing w:before="220"/>
              <w:jc w:val="both"/>
            </w:pPr>
            <w:r>
              <w:t>Д 60 - К 53 - оплата поставщику</w:t>
            </w:r>
          </w:p>
          <w:p w:rsidR="008F1718" w:rsidRDefault="008F1718">
            <w:pPr>
              <w:pStyle w:val="ConsPlusNormal"/>
              <w:spacing w:before="220"/>
              <w:jc w:val="both"/>
            </w:pPr>
            <w:r>
              <w:t>Д 53 - К 62 - оплата от покупателя</w:t>
            </w:r>
          </w:p>
          <w:p w:rsidR="008F1718" w:rsidRDefault="008F1718">
            <w:pPr>
              <w:pStyle w:val="ConsPlusNormal"/>
              <w:spacing w:before="220"/>
              <w:jc w:val="both"/>
            </w:pPr>
            <w:r>
              <w:t>Д 51 - К 53 - зачисление на расчетный счет со счета цифрового рубля</w:t>
            </w:r>
          </w:p>
        </w:tc>
      </w:tr>
    </w:tbl>
    <w:p w:rsidR="008F1718" w:rsidRDefault="008F1718">
      <w:pPr>
        <w:pStyle w:val="ConsPlusNormal"/>
        <w:jc w:val="both"/>
      </w:pPr>
    </w:p>
    <w:p w:rsidR="008F1718" w:rsidRDefault="008F1718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"/>
        <w:gridCol w:w="420"/>
        <w:gridCol w:w="8575"/>
        <w:gridCol w:w="180"/>
      </w:tblGrid>
      <w:tr w:rsidR="008F1718">
        <w:tblPrEx>
          <w:tblCellMar>
            <w:top w:w="0" w:type="dxa"/>
            <w:bottom w:w="0" w:type="dxa"/>
          </w:tblCellMar>
        </w:tblPrEx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1718" w:rsidRDefault="008F1718">
            <w:pPr>
              <w:pStyle w:val="ConsPlusNormal"/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F1718" w:rsidRDefault="008F1718">
            <w:pPr>
              <w:pStyle w:val="ConsPlusNormal"/>
            </w:pPr>
            <w:r>
              <w:rPr>
                <w:noProof/>
              </w:rPr>
              <w:drawing>
                <wp:inline distT="0" distB="0" distL="0" distR="0">
                  <wp:extent cx="152400" cy="15240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180" w:type="dxa"/>
              <w:left w:w="0" w:type="dxa"/>
              <w:bottom w:w="180" w:type="dxa"/>
              <w:right w:w="0" w:type="dxa"/>
            </w:tcMar>
          </w:tcPr>
          <w:p w:rsidR="008F1718" w:rsidRDefault="008F1718">
            <w:pPr>
              <w:pStyle w:val="ConsPlusNormal"/>
              <w:jc w:val="both"/>
            </w:pPr>
            <w:r>
              <w:t>См. также:</w:t>
            </w:r>
          </w:p>
          <w:p w:rsidR="008F1718" w:rsidRDefault="008F1718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22">
              <w:r>
                <w:rPr>
                  <w:color w:val="0000FF"/>
                </w:rPr>
                <w:t>Учет денег на счетах и в кассе: счета 50, 51, 55, 57</w:t>
              </w:r>
            </w:hyperlink>
          </w:p>
          <w:p w:rsidR="008F1718" w:rsidRDefault="008F1718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23">
              <w:r>
                <w:rPr>
                  <w:color w:val="0000FF"/>
                </w:rPr>
                <w:t>Учет расчетов с контрагентами: счета 60, 62, 76</w:t>
              </w:r>
            </w:hyperlink>
          </w:p>
          <w:p w:rsidR="008F1718" w:rsidRDefault="008F1718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24">
              <w:r>
                <w:rPr>
                  <w:color w:val="0000FF"/>
                </w:rPr>
                <w:t>Порядок ведения кассовых операций</w:t>
              </w:r>
            </w:hyperlink>
          </w:p>
          <w:p w:rsidR="008F1718" w:rsidRDefault="008F1718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25">
              <w:r>
                <w:rPr>
                  <w:color w:val="0000FF"/>
                </w:rPr>
                <w:t>Валютные операции: бухгалтерский и налоговый учет</w:t>
              </w:r>
            </w:hyperlink>
          </w:p>
          <w:p w:rsidR="008F1718" w:rsidRDefault="008F1718">
            <w:pPr>
              <w:pStyle w:val="ConsPlusNormal"/>
              <w:numPr>
                <w:ilvl w:val="0"/>
                <w:numId w:val="1"/>
              </w:numPr>
              <w:jc w:val="both"/>
            </w:pPr>
            <w:hyperlink r:id="rId26">
              <w:r>
                <w:rPr>
                  <w:color w:val="0000FF"/>
                </w:rPr>
                <w:t>Платежное поручение контрагенту: как заполнить и изменить</w:t>
              </w:r>
            </w:hyperlink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F1718" w:rsidRDefault="008F1718">
            <w:pPr>
              <w:pStyle w:val="ConsPlusNormal"/>
            </w:pPr>
          </w:p>
        </w:tc>
      </w:tr>
    </w:tbl>
    <w:p w:rsidR="008F1718" w:rsidRDefault="008F1718">
      <w:pPr>
        <w:pStyle w:val="ConsPlusNormal"/>
        <w:jc w:val="both"/>
      </w:pPr>
    </w:p>
    <w:p w:rsidR="008F1718" w:rsidRDefault="008F1718">
      <w:pPr>
        <w:pStyle w:val="ConsPlusNormal"/>
        <w:jc w:val="both"/>
      </w:pPr>
    </w:p>
    <w:p w:rsidR="008F1718" w:rsidRDefault="008F17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F1726" w:rsidRDefault="00BF1726">
      <w:bookmarkStart w:id="1" w:name="_GoBack"/>
      <w:bookmarkEnd w:id="1"/>
    </w:p>
    <w:sectPr w:rsidR="00BF1726" w:rsidSect="00D141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5E3D"/>
    <w:multiLevelType w:val="multilevel"/>
    <w:tmpl w:val="109EF62C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718"/>
    <w:rsid w:val="008F1718"/>
    <w:rsid w:val="00BF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A45A79-226A-411A-8B2F-F9F0F86D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F17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F171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506&amp;dst=600" TargetMode="External"/><Relationship Id="rId13" Type="http://schemas.openxmlformats.org/officeDocument/2006/relationships/hyperlink" Target="https://login.consultant.ru/link/?req=doc&amp;base=LAW&amp;n=510534&amp;dst=100075" TargetMode="External"/><Relationship Id="rId18" Type="http://schemas.openxmlformats.org/officeDocument/2006/relationships/hyperlink" Target="https://login.consultant.ru/link/?req=doc&amp;base=PBI&amp;n=136785&amp;dst=100070" TargetMode="External"/><Relationship Id="rId26" Type="http://schemas.openxmlformats.org/officeDocument/2006/relationships/hyperlink" Target="https://login.consultant.ru/link/?req=doc&amp;base=PBI&amp;n=151592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.png"/><Relationship Id="rId7" Type="http://schemas.openxmlformats.org/officeDocument/2006/relationships/hyperlink" Target="https://login.consultant.ru/link/?req=doc&amp;base=LAW&amp;n=527626&amp;dst=524" TargetMode="External"/><Relationship Id="rId12" Type="http://schemas.openxmlformats.org/officeDocument/2006/relationships/hyperlink" Target="https://login.consultant.ru/link/?req=doc&amp;base=LAW&amp;n=510534&amp;dst=100069" TargetMode="External"/><Relationship Id="rId17" Type="http://schemas.openxmlformats.org/officeDocument/2006/relationships/hyperlink" Target="https://login.consultant.ru/link/?req=doc&amp;base=QUEST&amp;n=220386" TargetMode="External"/><Relationship Id="rId25" Type="http://schemas.openxmlformats.org/officeDocument/2006/relationships/hyperlink" Target="https://login.consultant.ru/link/?req=doc&amp;base=PBI&amp;n=217368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40413&amp;dst=100356" TargetMode="External"/><Relationship Id="rId20" Type="http://schemas.openxmlformats.org/officeDocument/2006/relationships/hyperlink" Target="https://login.consultant.ru/link/?req=doc&amp;base=LAW&amp;n=457321&amp;dst=100087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PBI&amp;n=84151" TargetMode="External"/><Relationship Id="rId11" Type="http://schemas.openxmlformats.org/officeDocument/2006/relationships/hyperlink" Target="https://cbr.ru/fintech/dr/" TargetMode="External"/><Relationship Id="rId24" Type="http://schemas.openxmlformats.org/officeDocument/2006/relationships/hyperlink" Target="https://login.consultant.ru/link/?req=doc&amp;base=PBI&amp;n=19975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PBI&amp;n=238751" TargetMode="External"/><Relationship Id="rId23" Type="http://schemas.openxmlformats.org/officeDocument/2006/relationships/hyperlink" Target="https://login.consultant.ru/link/?req=doc&amp;base=PBI&amp;n=164866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37281&amp;dst=100131" TargetMode="External"/><Relationship Id="rId19" Type="http://schemas.openxmlformats.org/officeDocument/2006/relationships/hyperlink" Target="https://login.consultant.ru/link/?req=doc&amp;base=LAW&amp;n=457321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624&amp;dst=1029" TargetMode="External"/><Relationship Id="rId14" Type="http://schemas.openxmlformats.org/officeDocument/2006/relationships/hyperlink" Target="https://login.consultant.ru/link/?req=doc&amp;base=PBI&amp;n=69571" TargetMode="External"/><Relationship Id="rId22" Type="http://schemas.openxmlformats.org/officeDocument/2006/relationships/hyperlink" Target="https://login.consultant.ru/link/?req=doc&amp;base=PBI&amp;n=136785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Горовцова Маргарита Алексеевна</dc:creator>
  <cp:keywords/>
  <dc:description/>
  <cp:lastModifiedBy>Горовцова Маргарита Алексеевна</cp:lastModifiedBy>
  <cp:revision>1</cp:revision>
  <dcterms:created xsi:type="dcterms:W3CDTF">2026-10-07T08:06:00Z</dcterms:created>
  <dcterms:modified xsi:type="dcterms:W3CDTF">2026-10-07T08:07:00Z</dcterms:modified>
</cp:coreProperties>
</file>