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04" w:rsidRDefault="00122A0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22A04" w:rsidRDefault="00122A0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2A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2A04" w:rsidRDefault="00122A04">
            <w:pPr>
              <w:pStyle w:val="ConsPlusNormal"/>
              <w:jc w:val="right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 xml:space="preserve"> | Готовое решение | </w:t>
            </w:r>
            <w:r>
              <w:rPr>
                <w:b/>
                <w:color w:val="392C69"/>
              </w:rPr>
              <w:t>Актуально на 23.03.2026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</w:tr>
    </w:tbl>
    <w:p w:rsidR="00122A04" w:rsidRDefault="00122A04">
      <w:pPr>
        <w:pStyle w:val="ConsPlusNormal"/>
        <w:spacing w:before="480"/>
      </w:pPr>
      <w:r>
        <w:rPr>
          <w:b/>
          <w:sz w:val="38"/>
        </w:rPr>
        <w:t>Образец годового отчета ООО</w:t>
      </w:r>
    </w:p>
    <w:p w:rsidR="00122A04" w:rsidRDefault="00122A04">
      <w:pPr>
        <w:pStyle w:val="ConsPlusNormal"/>
        <w:spacing w:before="220"/>
        <w:jc w:val="both"/>
      </w:pPr>
      <w:r>
        <w:t xml:space="preserve">Применимые нормы: </w:t>
      </w:r>
      <w:hyperlink r:id="rId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 п. 2 ст. 33</w:t>
        </w:r>
      </w:hyperlink>
      <w:r>
        <w:t xml:space="preserve">, </w:t>
      </w:r>
      <w:hyperlink r:id="rId7">
        <w:r>
          <w:rPr>
            <w:color w:val="0000FF"/>
          </w:rPr>
          <w:t>п. 3 ст. 36</w:t>
        </w:r>
      </w:hyperlink>
      <w:r>
        <w:t xml:space="preserve"> Закона об ООО</w:t>
      </w:r>
    </w:p>
    <w:p w:rsidR="00122A04" w:rsidRDefault="00122A04">
      <w:pPr>
        <w:pStyle w:val="ConsPlusNormal"/>
        <w:spacing w:before="220"/>
        <w:jc w:val="both"/>
      </w:pPr>
      <w:r>
        <w:t>Годовой отчет ООО составляется в свободной форме. На практике он формируется с учетом числовых показателей годовой (финансовой) отчетности общества. Обязательным разделом, который подлежит включению в годовой отчет ООО, является раздел о состоянии чистых активов (</w:t>
      </w:r>
      <w:hyperlink r:id="rId8">
        <w:r>
          <w:rPr>
            <w:color w:val="0000FF"/>
          </w:rPr>
          <w:t>п. 3 ст. 30</w:t>
        </w:r>
      </w:hyperlink>
      <w:r>
        <w:t xml:space="preserve"> Закона об ООО).</w:t>
      </w:r>
    </w:p>
    <w:p w:rsidR="00122A04" w:rsidRDefault="00122A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555"/>
        <w:gridCol w:w="8440"/>
        <w:gridCol w:w="180"/>
      </w:tblGrid>
      <w:tr w:rsidR="00122A0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22A04" w:rsidRDefault="00122A0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22A04" w:rsidRDefault="00122A04">
            <w:pPr>
              <w:pStyle w:val="ConsPlusNormal"/>
              <w:jc w:val="both"/>
            </w:pPr>
            <w:r>
              <w:t xml:space="preserve">См. Образец отчета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</w:tr>
    </w:tbl>
    <w:p w:rsidR="00122A04" w:rsidRDefault="00122A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122A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22A04" w:rsidRDefault="00122A04">
            <w:pPr>
              <w:pStyle w:val="ConsPlusNormal"/>
              <w:jc w:val="right"/>
            </w:pPr>
            <w:r>
              <w:t>Утвержден</w:t>
            </w:r>
          </w:p>
          <w:p w:rsidR="00122A04" w:rsidRDefault="00122A04">
            <w:pPr>
              <w:pStyle w:val="ConsPlusNormal"/>
              <w:jc w:val="right"/>
            </w:pPr>
            <w:r>
              <w:t>решением очередного заседания</w:t>
            </w:r>
          </w:p>
          <w:p w:rsidR="00122A04" w:rsidRDefault="00122A04">
            <w:pPr>
              <w:pStyle w:val="ConsPlusNormal"/>
              <w:jc w:val="right"/>
            </w:pPr>
            <w:r>
              <w:t>общего собрания участников</w:t>
            </w:r>
          </w:p>
          <w:p w:rsidR="00122A04" w:rsidRDefault="00122A04">
            <w:pPr>
              <w:pStyle w:val="ConsPlusNormal"/>
              <w:jc w:val="right"/>
            </w:pPr>
            <w:r>
              <w:t>ООО "Альфа" 19 марта 2026 г.</w:t>
            </w:r>
          </w:p>
          <w:p w:rsidR="00122A04" w:rsidRDefault="00122A04">
            <w:pPr>
              <w:pStyle w:val="ConsPlusNormal"/>
              <w:jc w:val="right"/>
            </w:pPr>
            <w:r>
              <w:t>Протокол общего собрания ООО "Альфа"</w:t>
            </w:r>
          </w:p>
          <w:p w:rsidR="00122A04" w:rsidRDefault="00122A04">
            <w:pPr>
              <w:pStyle w:val="ConsPlusNormal"/>
              <w:jc w:val="right"/>
            </w:pPr>
            <w:r>
              <w:t>N 1/ОЗ от 20 марта 2026 г.</w:t>
            </w:r>
          </w:p>
          <w:p w:rsidR="00122A04" w:rsidRDefault="00122A04">
            <w:pPr>
              <w:pStyle w:val="ConsPlusNormal"/>
              <w:jc w:val="right"/>
            </w:pPr>
            <w:r>
              <w:t>Директор ООО "Альфа"</w:t>
            </w:r>
          </w:p>
          <w:p w:rsidR="00122A04" w:rsidRDefault="00122A04">
            <w:pPr>
              <w:pStyle w:val="ConsPlusNormal"/>
              <w:jc w:val="right"/>
            </w:pPr>
            <w:r>
              <w:t>___________________ /А.А. Сергеев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center"/>
            </w:pPr>
            <w:r>
              <w:rPr>
                <w:b/>
              </w:rPr>
              <w:t>Общество с ограниченной ответственностью</w:t>
            </w:r>
          </w:p>
          <w:p w:rsidR="00122A04" w:rsidRDefault="00122A04">
            <w:pPr>
              <w:pStyle w:val="ConsPlusNormal"/>
              <w:jc w:val="center"/>
            </w:pPr>
            <w:r>
              <w:rPr>
                <w:b/>
              </w:rPr>
              <w:t>"Альфа"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center"/>
            </w:pPr>
            <w:r>
              <w:rPr>
                <w:b/>
              </w:rPr>
              <w:t>Годовой отчет за 2025 год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center"/>
            </w:pPr>
            <w:r>
              <w:rPr>
                <w:b/>
              </w:rPr>
              <w:t>Содержание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center"/>
            </w:pPr>
            <w:r>
              <w:rPr>
                <w:noProof/>
                <w:position w:val="-89"/>
              </w:rPr>
              <w:drawing>
                <wp:inline distT="0" distB="0" distL="0" distR="0">
                  <wp:extent cx="5532120" cy="12814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12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1. Информация об Обществе</w:t>
            </w:r>
          </w:p>
          <w:p w:rsidR="00122A04" w:rsidRDefault="00122A04">
            <w:pPr>
              <w:pStyle w:val="ConsPlusNormal"/>
              <w:jc w:val="both"/>
            </w:pPr>
            <w:r>
              <w:t>1.1. Полное наименование: Общество с ограниченной ответственностью "Альфа".</w:t>
            </w:r>
          </w:p>
          <w:p w:rsidR="00122A04" w:rsidRDefault="00122A04">
            <w:pPr>
              <w:pStyle w:val="ConsPlusNormal"/>
              <w:jc w:val="both"/>
            </w:pPr>
            <w:r>
              <w:t>1.2. Краткое наименование: ООО "Альфа".</w:t>
            </w:r>
          </w:p>
          <w:p w:rsidR="00122A04" w:rsidRDefault="00122A04">
            <w:pPr>
              <w:pStyle w:val="ConsPlusNormal"/>
              <w:jc w:val="both"/>
            </w:pPr>
            <w:r>
              <w:t xml:space="preserve">1.3. Место нахождения и адрес: 100010, г. </w:t>
            </w:r>
            <w:proofErr w:type="spellStart"/>
            <w:r>
              <w:t>Энск</w:t>
            </w:r>
            <w:proofErr w:type="spellEnd"/>
            <w:r>
              <w:t xml:space="preserve">, ул. </w:t>
            </w:r>
            <w:proofErr w:type="spellStart"/>
            <w:r>
              <w:t>Цюрупы</w:t>
            </w:r>
            <w:proofErr w:type="spellEnd"/>
            <w:r>
              <w:t>, д. 12, корп. 9.</w:t>
            </w:r>
          </w:p>
          <w:p w:rsidR="00122A04" w:rsidRDefault="00122A04">
            <w:pPr>
              <w:pStyle w:val="ConsPlusNormal"/>
              <w:jc w:val="both"/>
            </w:pPr>
            <w:r>
              <w:t>1.4. Номер телефона и адрес электронной почты: +7 (123) 123-45-67, info@alfafirma.ru.</w:t>
            </w:r>
          </w:p>
          <w:p w:rsidR="00122A04" w:rsidRDefault="00122A04">
            <w:pPr>
              <w:pStyle w:val="ConsPlusNormal"/>
              <w:jc w:val="both"/>
            </w:pPr>
            <w:r>
              <w:t xml:space="preserve">1.5. Данные о государственной регистрации: зарегистрировано 13 апреля 2012 г. Межрайонной инспекцией Федеральной налоговой службы N 13 по г. </w:t>
            </w:r>
            <w:proofErr w:type="spellStart"/>
            <w:r>
              <w:t>Энску</w:t>
            </w:r>
            <w:proofErr w:type="spellEnd"/>
            <w:r>
              <w:t>; свидетельство о государственной регистрации юридического лица: серия 98 N 01054752.</w:t>
            </w:r>
          </w:p>
          <w:p w:rsidR="00122A04" w:rsidRDefault="00122A04">
            <w:pPr>
              <w:pStyle w:val="ConsPlusNormal"/>
              <w:jc w:val="both"/>
            </w:pPr>
            <w:r>
              <w:lastRenderedPageBreak/>
              <w:t>1.6. ОГРН: 1239867891234.</w:t>
            </w:r>
          </w:p>
          <w:p w:rsidR="00122A04" w:rsidRDefault="00122A04">
            <w:pPr>
              <w:pStyle w:val="ConsPlusNormal"/>
              <w:jc w:val="both"/>
            </w:pPr>
            <w:r>
              <w:t>1.7. Органами Общества являются:</w:t>
            </w:r>
          </w:p>
          <w:p w:rsidR="00122A04" w:rsidRDefault="00122A04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общее собрание участников;</w:t>
            </w:r>
          </w:p>
          <w:p w:rsidR="00122A04" w:rsidRDefault="00122A04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директор.</w:t>
            </w:r>
          </w:p>
          <w:p w:rsidR="00122A04" w:rsidRDefault="00122A04">
            <w:pPr>
              <w:pStyle w:val="ConsPlusNormal"/>
              <w:jc w:val="both"/>
            </w:pPr>
            <w:r>
              <w:t>Формирование Совета директоров (наблюдательного совета) уставом Общества не предусмотрено.</w:t>
            </w:r>
          </w:p>
          <w:p w:rsidR="00122A04" w:rsidRDefault="00122A04">
            <w:pPr>
              <w:pStyle w:val="ConsPlusNormal"/>
              <w:jc w:val="both"/>
            </w:pPr>
            <w:r>
              <w:t>В Обществе создана ревизионная комиссия в количестве 3 человек.</w:t>
            </w:r>
          </w:p>
          <w:p w:rsidR="00122A04" w:rsidRDefault="00122A04">
            <w:pPr>
              <w:pStyle w:val="ConsPlusNormal"/>
              <w:jc w:val="both"/>
            </w:pPr>
            <w:r>
              <w:t xml:space="preserve">1.8. Сфера деятельности: производство и продажа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2. Итоги работы Общества</w:t>
            </w:r>
          </w:p>
          <w:p w:rsidR="00122A04" w:rsidRDefault="00122A04">
            <w:pPr>
              <w:pStyle w:val="ConsPlusNormal"/>
              <w:jc w:val="both"/>
            </w:pPr>
            <w:r>
              <w:t>По итогам 2025 г. ООО "Альфа" достигло следующих результатов: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совокупная выручка Общества составила 60 млн руб., что больше на 21%, чем в предыдущем году;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создано 25 рабочих мест;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общие инвестиции в развитие Общества составили 10 млн руб.;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>сформированы и отработаны схемы финансирования инновационных проектов, реализован опыт успешного привлечения зарубежных поставщиков;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 xml:space="preserve">производство таких </w:t>
            </w:r>
            <w:proofErr w:type="spellStart"/>
            <w:r>
              <w:t>наноматериалов</w:t>
            </w:r>
            <w:proofErr w:type="spellEnd"/>
            <w:r>
              <w:t xml:space="preserve">, как </w:t>
            </w:r>
            <w:proofErr w:type="spellStart"/>
            <w:r>
              <w:t>нанорезина</w:t>
            </w:r>
            <w:proofErr w:type="spellEnd"/>
            <w:r>
              <w:t xml:space="preserve">, </w:t>
            </w:r>
            <w:proofErr w:type="spellStart"/>
            <w:r>
              <w:t>нанопластик</w:t>
            </w:r>
            <w:proofErr w:type="spellEnd"/>
            <w:r>
              <w:t xml:space="preserve">, </w:t>
            </w:r>
            <w:proofErr w:type="spellStart"/>
            <w:r>
              <w:t>наностекло</w:t>
            </w:r>
            <w:proofErr w:type="spellEnd"/>
            <w:r>
              <w:t>, увеличено на 30%;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 xml:space="preserve">подписано соглашение о сотрудничестве с </w:t>
            </w:r>
            <w:proofErr w:type="spellStart"/>
            <w:r>
              <w:t>технокластером</w:t>
            </w:r>
            <w:proofErr w:type="spellEnd"/>
            <w:r>
              <w:t xml:space="preserve"> "</w:t>
            </w:r>
            <w:proofErr w:type="spellStart"/>
            <w:r>
              <w:t>Нанокомпозит</w:t>
            </w:r>
            <w:proofErr w:type="spellEnd"/>
            <w:r>
              <w:t>";</w:t>
            </w:r>
          </w:p>
          <w:p w:rsidR="00122A04" w:rsidRDefault="00122A04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t xml:space="preserve">запущена в эксплуатацию вторая линия для производства </w:t>
            </w:r>
            <w:proofErr w:type="spellStart"/>
            <w:r>
              <w:t>нанорезины</w:t>
            </w:r>
            <w:proofErr w:type="spellEnd"/>
            <w:r>
              <w:t>.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3. Положение Общества в отрасли</w:t>
            </w:r>
          </w:p>
          <w:p w:rsidR="00122A04" w:rsidRDefault="00122A04">
            <w:pPr>
              <w:pStyle w:val="ConsPlusNormal"/>
              <w:jc w:val="both"/>
            </w:pPr>
            <w:r>
              <w:t xml:space="preserve">ООО "Альфа" входит в число крупнейших производителей </w:t>
            </w:r>
            <w:proofErr w:type="spellStart"/>
            <w:r>
              <w:t>наноматериалов</w:t>
            </w:r>
            <w:proofErr w:type="spellEnd"/>
            <w:r>
              <w:t xml:space="preserve"> в России. Общество занимает четвертое место в десятке крупнейших российских производителей в пересчете на общий объем производства за 2025 г. в соответствии с публично доступной информацией.</w:t>
            </w:r>
          </w:p>
          <w:p w:rsidR="00122A04" w:rsidRDefault="00122A04">
            <w:pPr>
              <w:pStyle w:val="ConsPlusNormal"/>
              <w:jc w:val="both"/>
            </w:pPr>
            <w:r>
              <w:t xml:space="preserve">Общество было одной из первых российских компаний, которые начали производство </w:t>
            </w:r>
            <w:proofErr w:type="spellStart"/>
            <w:r>
              <w:t>наноматериалов</w:t>
            </w:r>
            <w:proofErr w:type="spellEnd"/>
            <w:r>
              <w:t xml:space="preserve"> в России, и более чем за 5 лет прошло путь развития от небольшого производственного цеха до завода средней мощности.</w:t>
            </w:r>
          </w:p>
          <w:p w:rsidR="00122A04" w:rsidRDefault="00122A04">
            <w:pPr>
              <w:pStyle w:val="ConsPlusNormal"/>
              <w:jc w:val="both"/>
            </w:pPr>
            <w:r>
              <w:t>Общество имеет более 10 представительств по всей России.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4. Состояние чистых активов</w:t>
            </w:r>
          </w:p>
          <w:p w:rsidR="00122A04" w:rsidRDefault="00122A04">
            <w:pPr>
              <w:pStyle w:val="ConsPlusNormal"/>
              <w:jc w:val="both"/>
            </w:pPr>
            <w:r>
              <w:t>Стоимость чистых активов Общества на 31.12.2025 составила 70 437 тыс. руб.</w:t>
            </w:r>
          </w:p>
          <w:p w:rsidR="00122A04" w:rsidRDefault="00122A04">
            <w:pPr>
              <w:pStyle w:val="ConsPlusNormal"/>
              <w:jc w:val="both"/>
            </w:pPr>
            <w:r>
              <w:t>Показатели, характеризующие динамику изменения стоимости чистых активов Общества и уставного капитала Общества за три последних завершенных финансовых года, включая отчетный год:</w:t>
            </w:r>
          </w:p>
          <w:p w:rsidR="00122A04" w:rsidRDefault="00122A04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90"/>
              <w:gridCol w:w="3390"/>
              <w:gridCol w:w="3445"/>
            </w:tblGrid>
            <w:tr w:rsidR="00122A04">
              <w:tc>
                <w:tcPr>
                  <w:tcW w:w="240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Период</w:t>
                  </w:r>
                </w:p>
              </w:tc>
              <w:tc>
                <w:tcPr>
                  <w:tcW w:w="396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Стоимость чистых активов по состоянию на конец года, тыс. руб.</w:t>
                  </w:r>
                </w:p>
              </w:tc>
              <w:tc>
                <w:tcPr>
                  <w:tcW w:w="4038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Размер уставного капитала по состоянию на конец года, тыс. руб.</w:t>
                  </w:r>
                </w:p>
              </w:tc>
            </w:tr>
            <w:tr w:rsidR="00122A04">
              <w:tc>
                <w:tcPr>
                  <w:tcW w:w="240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2023 г.</w:t>
                  </w:r>
                </w:p>
              </w:tc>
              <w:tc>
                <w:tcPr>
                  <w:tcW w:w="396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70 137</w:t>
                  </w:r>
                </w:p>
              </w:tc>
              <w:tc>
                <w:tcPr>
                  <w:tcW w:w="4038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100</w:t>
                  </w:r>
                </w:p>
              </w:tc>
            </w:tr>
            <w:tr w:rsidR="00122A04">
              <w:tc>
                <w:tcPr>
                  <w:tcW w:w="240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2024 г.</w:t>
                  </w:r>
                </w:p>
              </w:tc>
              <w:tc>
                <w:tcPr>
                  <w:tcW w:w="396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70 237</w:t>
                  </w:r>
                </w:p>
              </w:tc>
              <w:tc>
                <w:tcPr>
                  <w:tcW w:w="4038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100</w:t>
                  </w:r>
                </w:p>
              </w:tc>
            </w:tr>
            <w:tr w:rsidR="00122A04">
              <w:tc>
                <w:tcPr>
                  <w:tcW w:w="240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2025 г.</w:t>
                  </w:r>
                </w:p>
              </w:tc>
              <w:tc>
                <w:tcPr>
                  <w:tcW w:w="3969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70 437</w:t>
                  </w:r>
                </w:p>
              </w:tc>
              <w:tc>
                <w:tcPr>
                  <w:tcW w:w="4038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t>100</w:t>
                  </w:r>
                </w:p>
              </w:tc>
            </w:tr>
          </w:tbl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5. Выплата прибыли участникам</w:t>
            </w:r>
          </w:p>
          <w:p w:rsidR="00122A04" w:rsidRDefault="00122A04">
            <w:pPr>
              <w:pStyle w:val="ConsPlusNormal"/>
              <w:jc w:val="both"/>
            </w:pPr>
            <w:r>
              <w:t>25 марта 2025 г. в соответствии с решением годового (очередного) общего собрания участников Общества чистая прибыль за 2024 финансовый год в размере 5 000 000 руб. распределена между участниками Общества.</w:t>
            </w:r>
          </w:p>
          <w:p w:rsidR="00122A04" w:rsidRDefault="00122A04">
            <w:pPr>
              <w:pStyle w:val="ConsPlusNormal"/>
              <w:jc w:val="both"/>
            </w:pPr>
            <w:r>
              <w:t>Соответствующие выплаты произведены 15 апреля 2025 г.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Раздел 6. Информация о директоре</w:t>
            </w:r>
          </w:p>
          <w:p w:rsidR="00122A04" w:rsidRDefault="00122A04">
            <w:pPr>
              <w:pStyle w:val="ConsPlusNormal"/>
              <w:jc w:val="both"/>
            </w:pPr>
            <w:r>
              <w:t>В течение 2025 г. должность единоличного исполнительного органа (директора) Общества занимал Сергеев Александр Александрович. Срок полномочий директора истекает 7 сентября 2027 г.</w:t>
            </w:r>
          </w:p>
          <w:p w:rsidR="00122A04" w:rsidRDefault="00122A04">
            <w:pPr>
              <w:pStyle w:val="ConsPlusNormal"/>
              <w:jc w:val="both"/>
            </w:pPr>
            <w:r>
              <w:t>Все должности, занимаемые этим лицом в Обществе и других организациях за последние 6 лет и в настоящее время в хронологическом порядке:</w:t>
            </w:r>
          </w:p>
          <w:p w:rsidR="00122A04" w:rsidRDefault="00122A04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2732"/>
              <w:gridCol w:w="2851"/>
            </w:tblGrid>
            <w:tr w:rsidR="00122A04">
              <w:tc>
                <w:tcPr>
                  <w:tcW w:w="4090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rPr>
                      <w:b/>
                    </w:rPr>
                    <w:t>Период</w:t>
                  </w:r>
                </w:p>
              </w:tc>
              <w:tc>
                <w:tcPr>
                  <w:tcW w:w="3190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rPr>
                      <w:b/>
                    </w:rPr>
                    <w:t>Организация</w:t>
                  </w:r>
                </w:p>
              </w:tc>
              <w:tc>
                <w:tcPr>
                  <w:tcW w:w="3343" w:type="dxa"/>
                </w:tcPr>
                <w:p w:rsidR="00122A04" w:rsidRDefault="00122A04">
                  <w:pPr>
                    <w:pStyle w:val="ConsPlusNormal"/>
                    <w:jc w:val="center"/>
                  </w:pPr>
                  <w:r>
                    <w:rPr>
                      <w:b/>
                    </w:rPr>
                    <w:t>Должность</w:t>
                  </w:r>
                </w:p>
              </w:tc>
            </w:tr>
            <w:tr w:rsidR="00122A04">
              <w:tc>
                <w:tcPr>
                  <w:tcW w:w="4090" w:type="dxa"/>
                </w:tcPr>
                <w:p w:rsidR="00122A04" w:rsidRDefault="00122A04">
                  <w:pPr>
                    <w:pStyle w:val="ConsPlusNormal"/>
                  </w:pPr>
                  <w:r>
                    <w:t>09.2022 - настоящее время</w:t>
                  </w:r>
                </w:p>
              </w:tc>
              <w:tc>
                <w:tcPr>
                  <w:tcW w:w="3190" w:type="dxa"/>
                </w:tcPr>
                <w:p w:rsidR="00122A04" w:rsidRDefault="00122A04">
                  <w:pPr>
                    <w:pStyle w:val="ConsPlusNormal"/>
                  </w:pPr>
                  <w:r>
                    <w:t>ООО "Альфа"</w:t>
                  </w:r>
                </w:p>
              </w:tc>
              <w:tc>
                <w:tcPr>
                  <w:tcW w:w="3343" w:type="dxa"/>
                </w:tcPr>
                <w:p w:rsidR="00122A04" w:rsidRDefault="00122A04">
                  <w:pPr>
                    <w:pStyle w:val="ConsPlusNormal"/>
                  </w:pPr>
                  <w:r>
                    <w:t>Директор</w:t>
                  </w:r>
                </w:p>
              </w:tc>
            </w:tr>
            <w:tr w:rsidR="00122A04">
              <w:tc>
                <w:tcPr>
                  <w:tcW w:w="4090" w:type="dxa"/>
                </w:tcPr>
                <w:p w:rsidR="00122A04" w:rsidRDefault="00122A04">
                  <w:pPr>
                    <w:pStyle w:val="ConsPlusNormal"/>
                  </w:pPr>
                  <w:r>
                    <w:t>08.2019 - 09.2022</w:t>
                  </w:r>
                </w:p>
              </w:tc>
              <w:tc>
                <w:tcPr>
                  <w:tcW w:w="3190" w:type="dxa"/>
                </w:tcPr>
                <w:p w:rsidR="00122A04" w:rsidRDefault="00122A04">
                  <w:pPr>
                    <w:pStyle w:val="ConsPlusNormal"/>
                  </w:pPr>
                  <w:r>
                    <w:t>ООО "Вектор"</w:t>
                  </w:r>
                </w:p>
              </w:tc>
              <w:tc>
                <w:tcPr>
                  <w:tcW w:w="3343" w:type="dxa"/>
                </w:tcPr>
                <w:p w:rsidR="00122A04" w:rsidRDefault="00122A04">
                  <w:pPr>
                    <w:pStyle w:val="ConsPlusNormal"/>
                  </w:pPr>
                  <w:r>
                    <w:t>Заместитель генерального директора</w:t>
                  </w:r>
                </w:p>
              </w:tc>
            </w:tr>
          </w:tbl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t>Доли участия в уставном капитале не имеет.</w:t>
            </w:r>
          </w:p>
          <w:p w:rsidR="00122A04" w:rsidRDefault="00122A04">
            <w:pPr>
              <w:pStyle w:val="ConsPlusNormal"/>
              <w:jc w:val="both"/>
            </w:pPr>
          </w:p>
          <w:p w:rsidR="00122A04" w:rsidRDefault="00122A04">
            <w:pPr>
              <w:pStyle w:val="ConsPlusNormal"/>
              <w:jc w:val="both"/>
            </w:pPr>
            <w:r>
              <w:rPr>
                <w:b/>
              </w:rPr>
              <w:t>Приложения:</w:t>
            </w:r>
          </w:p>
          <w:p w:rsidR="00122A04" w:rsidRDefault="00122A04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Отчет о сделках с заинтересованностью.</w:t>
            </w:r>
          </w:p>
          <w:p w:rsidR="00122A04" w:rsidRDefault="00122A04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Годовая бухгалтерская (финансовая) отчетность за 2025 г.</w:t>
            </w:r>
          </w:p>
          <w:p w:rsidR="00122A04" w:rsidRDefault="00122A04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Аудиторское заключение ООО "Гамма" в отношении годового отчета и годовой бухгалтерской (финансовой) отчетности ООО "Альфа" за 2025 г.</w:t>
            </w:r>
          </w:p>
          <w:p w:rsidR="00122A04" w:rsidRDefault="00122A04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Заключение ревизионной комиссии по результатам проверки годового отчета и годовой бухгалтерской (финансовой) отчетности.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</w:tr>
    </w:tbl>
    <w:p w:rsidR="00122A04" w:rsidRDefault="00122A04">
      <w:pPr>
        <w:pStyle w:val="ConsPlusNormal"/>
        <w:jc w:val="both"/>
      </w:pPr>
    </w:p>
    <w:p w:rsidR="00122A04" w:rsidRDefault="00122A0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122A0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22A04" w:rsidRDefault="00122A0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22A04" w:rsidRDefault="00122A04">
            <w:pPr>
              <w:pStyle w:val="ConsPlusNormal"/>
              <w:jc w:val="both"/>
            </w:pPr>
            <w:r>
              <w:t xml:space="preserve">См. также: </w:t>
            </w:r>
            <w:hyperlink r:id="rId12">
              <w:r>
                <w:rPr>
                  <w:color w:val="0000FF"/>
                </w:rPr>
                <w:t>Как составить годовой отчет ООО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A04" w:rsidRDefault="00122A04">
            <w:pPr>
              <w:pStyle w:val="ConsPlusNormal"/>
            </w:pPr>
          </w:p>
        </w:tc>
      </w:tr>
    </w:tbl>
    <w:p w:rsidR="00122A04" w:rsidRDefault="00122A04">
      <w:pPr>
        <w:pStyle w:val="ConsPlusNormal"/>
        <w:jc w:val="both"/>
      </w:pPr>
    </w:p>
    <w:p w:rsidR="00122A04" w:rsidRDefault="00122A04">
      <w:pPr>
        <w:pStyle w:val="ConsPlusNormal"/>
        <w:jc w:val="both"/>
      </w:pPr>
    </w:p>
    <w:p w:rsidR="00122A04" w:rsidRDefault="00122A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A04" w:rsidRDefault="00122A04">
      <w:pPr>
        <w:pStyle w:val="ConsPlusNormal"/>
        <w:sectPr w:rsidR="00122A04" w:rsidSect="00A705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22A04" w:rsidRDefault="00122A04"/>
    <w:p w:rsidR="005B3EAF" w:rsidRDefault="005B3EAF"/>
    <w:sectPr w:rsidR="005B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CCC"/>
    <w:multiLevelType w:val="multilevel"/>
    <w:tmpl w:val="9788C4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A7E4C"/>
    <w:multiLevelType w:val="multilevel"/>
    <w:tmpl w:val="1E2015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00FEF"/>
    <w:multiLevelType w:val="multilevel"/>
    <w:tmpl w:val="006EC9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04"/>
    <w:rsid w:val="00122A04"/>
    <w:rsid w:val="005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B4F4-A213-497C-B807-60291B1B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2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16&amp;dst=3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16&amp;dst=192" TargetMode="External"/><Relationship Id="rId12" Type="http://schemas.openxmlformats.org/officeDocument/2006/relationships/hyperlink" Target="https://login.consultant.ru/link/?req=doc&amp;base=CJI&amp;n=111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16&amp;dst=100276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2026-03-24T07:34:00Z</dcterms:created>
  <dcterms:modified xsi:type="dcterms:W3CDTF">2026-03-24T07:35:00Z</dcterms:modified>
</cp:coreProperties>
</file>